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D0F" w:rsidRDefault="00CD6D0F" w:rsidP="00CD6D0F">
      <w:pPr>
        <w:jc w:val="center"/>
      </w:pPr>
    </w:p>
    <w:p w:rsidR="00CD6D0F" w:rsidRDefault="00CD6D0F" w:rsidP="00CD6D0F">
      <w:pPr>
        <w:jc w:val="center"/>
      </w:pPr>
    </w:p>
    <w:p w:rsidR="00CD6D0F" w:rsidRDefault="00CD6D0F" w:rsidP="00CD6D0F">
      <w:pPr>
        <w:jc w:val="center"/>
      </w:pPr>
    </w:p>
    <w:p w:rsidR="00CD6D0F" w:rsidRDefault="00CD6D0F" w:rsidP="00CD6D0F">
      <w:pPr>
        <w:jc w:val="center"/>
      </w:pPr>
    </w:p>
    <w:p w:rsidR="00CD6D0F" w:rsidRDefault="00CD6D0F" w:rsidP="00CD6D0F">
      <w:pPr>
        <w:jc w:val="center"/>
      </w:pPr>
    </w:p>
    <w:p w:rsidR="00CD6D0F" w:rsidRDefault="00CD6D0F" w:rsidP="00CD6D0F">
      <w:pPr>
        <w:jc w:val="center"/>
      </w:pPr>
    </w:p>
    <w:p w:rsidR="00CD6D0F" w:rsidRDefault="00CD6D0F" w:rsidP="00CD6D0F">
      <w:pPr>
        <w:jc w:val="center"/>
      </w:pPr>
    </w:p>
    <w:p w:rsidR="00C676E8" w:rsidRDefault="00CD6D0F" w:rsidP="00CD6D0F">
      <w:pPr>
        <w:jc w:val="center"/>
      </w:pPr>
      <w:r>
        <w:t>Teaching Specialty</w:t>
      </w:r>
    </w:p>
    <w:p w:rsidR="00CD6D0F" w:rsidRDefault="00CD6D0F" w:rsidP="00CD6D0F">
      <w:pPr>
        <w:jc w:val="center"/>
      </w:pPr>
      <w:r>
        <w:t>Student’s Name</w:t>
      </w:r>
    </w:p>
    <w:p w:rsidR="00CD6D0F" w:rsidRDefault="00CD6D0F" w:rsidP="00CD6D0F">
      <w:pPr>
        <w:jc w:val="center"/>
      </w:pPr>
      <w:r>
        <w:t>Institution</w:t>
      </w:r>
    </w:p>
    <w:p w:rsidR="00CD6D0F" w:rsidRDefault="00CD6D0F" w:rsidP="00CD6D0F">
      <w:pPr>
        <w:jc w:val="center"/>
      </w:pPr>
      <w:r>
        <w:t>Date</w:t>
      </w:r>
    </w:p>
    <w:p w:rsidR="00CD6D0F" w:rsidRDefault="00CD6D0F">
      <w:pPr>
        <w:spacing w:line="259" w:lineRule="auto"/>
      </w:pPr>
      <w:r>
        <w:br w:type="page"/>
      </w:r>
    </w:p>
    <w:p w:rsidR="00CD6D0F" w:rsidRDefault="00CD6D0F" w:rsidP="00CD6D0F">
      <w:pPr>
        <w:jc w:val="center"/>
      </w:pPr>
      <w:r>
        <w:lastRenderedPageBreak/>
        <w:t>Teaching Specialty</w:t>
      </w:r>
    </w:p>
    <w:p w:rsidR="00CD6D0F" w:rsidRPr="00D91D43" w:rsidRDefault="00CD6D0F" w:rsidP="00CD6D0F">
      <w:pPr>
        <w:rPr>
          <w:b/>
        </w:rPr>
      </w:pPr>
      <w:r w:rsidRPr="00D91D43">
        <w:rPr>
          <w:b/>
        </w:rPr>
        <w:t>Introduction</w:t>
      </w:r>
    </w:p>
    <w:p w:rsidR="00CD6D0F" w:rsidRDefault="00CD6D0F" w:rsidP="00CD6D0F">
      <w:pPr>
        <w:ind w:firstLine="720"/>
      </w:pPr>
      <w:r>
        <w:t xml:space="preserve">As a teacher who has specialized in teaching students taking engineering courses, I face various problems. In pursuing my scientific research, I have encountered </w:t>
      </w:r>
      <w:r w:rsidR="000B047C">
        <w:t>several</w:t>
      </w:r>
      <w:r>
        <w:t xml:space="preserve"> obstacles that seem to be detrimental in ensuring</w:t>
      </w:r>
      <w:r w:rsidR="000B047C">
        <w:t xml:space="preserve"> that scientific research </w:t>
      </w:r>
      <w:r>
        <w:t>taught to students was appropriately accomplished. However, surmounting some of the bottlenecks can result in greater understanding, stronger design as well as better results. The paper’s thesis is to demystify the problems I have encountered in teaching students on engineering specialty and how they can be overcome.</w:t>
      </w:r>
    </w:p>
    <w:p w:rsidR="00CD6D0F" w:rsidRDefault="00CD6D0F" w:rsidP="00CD6D0F">
      <w:r>
        <w:t xml:space="preserve">           The obstacles that I encountered with studies of faculty adoption of instructional innovations as held in my specialty were myriad. Foremost, there is the concern of ensuring that students are taught regarding important content</w:t>
      </w:r>
      <w:r w:rsidRPr="00AD68E4">
        <w:rPr>
          <w:rFonts w:eastAsia="Times New Roman" w:cs="Times New Roman"/>
          <w:szCs w:val="24"/>
        </w:rPr>
        <w:t xml:space="preserve"> </w:t>
      </w:r>
      <w:r>
        <w:rPr>
          <w:rFonts w:eastAsia="Times New Roman" w:cs="Times New Roman"/>
          <w:szCs w:val="24"/>
        </w:rPr>
        <w:t>(Tsybulsky, &amp; Muchnik-Rozanov, 2019)</w:t>
      </w:r>
      <w:r>
        <w:t>. Sometimes I fear that if I shift to more student-centered instructional approaches, students will miss the relevant academic content they should be exposed to. Also, I fear that they will not get the right content they ought to know to ensure they are better prepared for upper-level courses. Tellingly, concerns regarding content coverage have prevented me from utilizing more research-based strategies. Additionally, I presume that the content taught through student-centered activities was less vigorous than that covered in a traditional lecture.</w:t>
      </w:r>
    </w:p>
    <w:p w:rsidR="00CD6D0F" w:rsidRDefault="00CD6D0F" w:rsidP="00CD6D0F">
      <w:r>
        <w:t xml:space="preserve">           Secondly, concerns regarding students' reaction to an unfamiliar teaching method and the effect on the student course evaluations have proved to be an obstacle. Teaching students concerning research-based activities in classrooms is difficult. Many students are usually puzzled, while some may be resistant to the unfamiliar ways they are expected to learn and </w:t>
      </w:r>
      <w:r>
        <w:lastRenderedPageBreak/>
        <w:t>proactively take part in learning</w:t>
      </w:r>
      <w:r w:rsidRPr="00AD68E4">
        <w:rPr>
          <w:rFonts w:eastAsia="Times New Roman" w:cs="Times New Roman"/>
          <w:szCs w:val="24"/>
        </w:rPr>
        <w:t xml:space="preserve"> </w:t>
      </w:r>
      <w:r>
        <w:rPr>
          <w:rFonts w:eastAsia="Times New Roman" w:cs="Times New Roman"/>
          <w:szCs w:val="24"/>
        </w:rPr>
        <w:t>(Sonia, 2017)</w:t>
      </w:r>
      <w:r>
        <w:t>. For instance, some students normally state that I am an expert who should tell them the expected answers to queries raised in the courses. Besides, students feel that they have paid a lot of money to be taught the course's essential content without being expected to learn in unfamiliar ways.</w:t>
      </w:r>
    </w:p>
    <w:p w:rsidR="00CD6D0F" w:rsidRDefault="00CD6D0F" w:rsidP="00CD6D0F">
      <w:r>
        <w:t xml:space="preserve">           Thirdly, course scheduling issues have been an obstacle to ensuring that students are appropriately taught. For a long, my college has struggled to find better ways to manage overcrowded and empty courses. The institution has had the problem of capacity issues in scheduling classes. This has been showcased in the high enrollment of students taking engineering courses in the college. Hence the overloaded enrollments have resulted in bottlenecks that have hindered the graduation of students on time.</w:t>
      </w:r>
    </w:p>
    <w:p w:rsidR="00CD6D0F" w:rsidRDefault="00CD6D0F" w:rsidP="00CD6D0F">
      <w:pPr>
        <w:ind w:firstLine="720"/>
      </w:pPr>
      <w:r>
        <w:t>Conversely, the aforesaid problems can be resolved with the implementation of proper frameworks. Course scheduling issues can be resolved when the institution has made edits to the schedule regarding what it knows and the students' needs</w:t>
      </w:r>
      <w:r w:rsidRPr="00C676E8">
        <w:rPr>
          <w:rFonts w:eastAsia="Times New Roman" w:cs="Times New Roman"/>
          <w:szCs w:val="24"/>
        </w:rPr>
        <w:t xml:space="preserve"> </w:t>
      </w:r>
      <w:r>
        <w:rPr>
          <w:rFonts w:eastAsia="Times New Roman" w:cs="Times New Roman"/>
          <w:szCs w:val="24"/>
        </w:rPr>
        <w:t>(Sharma, 2018)</w:t>
      </w:r>
      <w:r>
        <w:t>. This will be a masterstroke in addressing capacity concerns that will ensure that the required number of students are allocated within specific classes to alleviate issues of overcrowding and empty classes. Moreover, erecting more classrooms is essential as the process of scheduling courses is decentralized. Expertly making enrollment changes and changes in student demographics are critical in ensuring that necessary adjustments have been made. Even though addressing capacity concerns is a costly endeavor, it will ensure that problems with handling high capacity in classrooms are resolved. The institution needs to reexamine how it schedules courses and handles capacity to prevent classrooms' overcrowding or emptiness. For example, the Ohio Association of Community Colleges is utilizing a state grant to examine the scheduling as well as capacity data at the 20-plus community colleges and four open-access universities of the state.</w:t>
      </w:r>
    </w:p>
    <w:p w:rsidR="00CD6D0F" w:rsidRDefault="00CD6D0F" w:rsidP="00CD6D0F">
      <w:r>
        <w:lastRenderedPageBreak/>
        <w:t xml:space="preserve">           Also, the concern of the content students should learn ought to be resolved by revising it. The material addressed within a typical lecture course should be well understood by students. The main emphasis should be put on ensuring that students learn and not how much content to be presented by an instructor in a lecture. Various steps to be considered for students to learn the most important content in the discipline and become sufficiently prepared for succeeding courses are numerous. It is important to make students accountable for learning some content outside the classroom. The most important thing is what students learn in an entire course over what they have learnt through in-class as well as out-of-class activities. For increased student interaction, there is a need to introduce homework and quizzes to learn regarding assigned readings. Students can also be assigned groups outside classes to work on the homework queries and find answers to them. It has been found that students in interactive courses have substantial higher learning gains alongside better conceptual understanding compared to students who accomplished the same course through a lecture-based method. Also, I need to identify and focus on the important content. However, this will require concerted efforts from every teacher within the institution to inspire instructional change by endorsing learning goals that will determine the most vital topics to be lectured in the course.</w:t>
      </w:r>
    </w:p>
    <w:p w:rsidR="00CD6D0F" w:rsidRDefault="00CD6D0F" w:rsidP="00CD6D0F">
      <w:r>
        <w:t xml:space="preserve">           Furthermore, helping students embrace new ways of learning, along with teaching, is crucial. Seasoned practitioners have suggested numerous strategies that instructors can utilize to create students' positive attitudes concerning research-based strategies. One way is to make sure that students understand the teaching strategies, how beneficial they are, and what is expected of them</w:t>
      </w:r>
      <w:r w:rsidRPr="00C676E8">
        <w:rPr>
          <w:rFonts w:eastAsia="Times New Roman" w:cs="Times New Roman"/>
          <w:szCs w:val="24"/>
        </w:rPr>
        <w:t xml:space="preserve"> </w:t>
      </w:r>
      <w:r>
        <w:rPr>
          <w:rFonts w:eastAsia="Times New Roman" w:cs="Times New Roman"/>
          <w:szCs w:val="24"/>
        </w:rPr>
        <w:t>(Brandon et al., 2018)</w:t>
      </w:r>
      <w:r>
        <w:t xml:space="preserve">. I have identified the need to explain to students the aim of my teaching strategies, and what I seek to achieve is ensuring that they grasp the course content. This seeks to ensure that they become convinced about learning more regarding the course. </w:t>
      </w:r>
      <w:r>
        <w:lastRenderedPageBreak/>
        <w:t>When students see the course rationale, they become more willing to learn the knowledge presented in it. It is also important to show students evidence regarding how research-based strategies will assist them in learning and be prepared for their future lives. Since my specialty revolves around research-based learning, I will share evidence with my students on the important, relevant skills required to exhibit in their future work environments. And this I will achieve by showing them displays that compare yesterday’s engineer and tomorrow’s engineer's work environments. This will enable the students to understand the expertise and skills they should embody in the contemporary world.</w:t>
      </w:r>
    </w:p>
    <w:p w:rsidR="00CD6D0F" w:rsidRPr="00D91D43" w:rsidRDefault="00CD6D0F" w:rsidP="00D91D43">
      <w:pPr>
        <w:jc w:val="center"/>
        <w:rPr>
          <w:b/>
        </w:rPr>
      </w:pPr>
      <w:bookmarkStart w:id="0" w:name="_GoBack"/>
      <w:r w:rsidRPr="00D91D43">
        <w:rPr>
          <w:b/>
        </w:rPr>
        <w:t>Conclusion</w:t>
      </w:r>
    </w:p>
    <w:bookmarkEnd w:id="0"/>
    <w:p w:rsidR="00CD6D0F" w:rsidRDefault="00CD6D0F" w:rsidP="00CD6D0F">
      <w:r>
        <w:t xml:space="preserve">           The specialty of engineering has significant problems like other disciplines. As an instructor, I have faced myriad challenges or bottlenecks teaching students in my specialty. For instance, some students may be uncomfortable to learn. Also, there are problems regarding the scheduling of courses. However, through proper design and conceptual frameworks, the problems can be easily overcome. There is a need to ensure that the course content ensures that students learn and grasp the necessary knowledge required for them. Keeping students abreast with the essential course content is vital in ensuring that they incorporate the necessary knowledge they require in future. The course content has to teach them of the requisite skills and ideas needed in a competent work environment. </w:t>
      </w:r>
    </w:p>
    <w:p w:rsidR="00CD6D0F" w:rsidRDefault="00CD6D0F" w:rsidP="00CD6D0F">
      <w:pPr>
        <w:jc w:val="center"/>
      </w:pPr>
    </w:p>
    <w:p w:rsidR="00CD6D0F" w:rsidRDefault="00CD6D0F" w:rsidP="00CD6D0F">
      <w:pPr>
        <w:jc w:val="center"/>
      </w:pPr>
    </w:p>
    <w:p w:rsidR="00CD6D0F" w:rsidRDefault="00CD6D0F" w:rsidP="00CD6D0F">
      <w:pPr>
        <w:jc w:val="center"/>
      </w:pPr>
    </w:p>
    <w:p w:rsidR="00CD6D0F" w:rsidRDefault="00CD6D0F" w:rsidP="00CD6D0F"/>
    <w:p w:rsidR="00CD6D0F" w:rsidRPr="00EA00DB" w:rsidRDefault="00CD6D0F" w:rsidP="00CD6D0F">
      <w:pPr>
        <w:jc w:val="center"/>
      </w:pPr>
      <w:r>
        <w:lastRenderedPageBreak/>
        <w:t xml:space="preserve">References  </w:t>
      </w:r>
    </w:p>
    <w:p w:rsidR="00CD6D0F" w:rsidRPr="00AD68E4" w:rsidRDefault="00CD6D0F" w:rsidP="00CD6D0F">
      <w:pPr>
        <w:spacing w:after="0"/>
        <w:ind w:left="720" w:hanging="720"/>
        <w:rPr>
          <w:rFonts w:eastAsia="Times New Roman" w:cs="Times New Roman"/>
          <w:szCs w:val="24"/>
        </w:rPr>
      </w:pPr>
      <w:r w:rsidRPr="00AD68E4">
        <w:rPr>
          <w:rFonts w:eastAsia="Times New Roman" w:cs="Times New Roman"/>
          <w:szCs w:val="24"/>
        </w:rPr>
        <w:t xml:space="preserve">Brandon, J., Hollweck, T., Donlevy, J. K., &amp; Whalen, C. (2018). Teacher supervision and evaluation challenges: Canadian perspectives on overall instructional leadership. </w:t>
      </w:r>
      <w:r w:rsidRPr="00AD68E4">
        <w:rPr>
          <w:rFonts w:eastAsia="Times New Roman" w:cs="Times New Roman"/>
          <w:i/>
          <w:iCs/>
          <w:szCs w:val="24"/>
        </w:rPr>
        <w:t>Teachers and teaching</w:t>
      </w:r>
      <w:r w:rsidRPr="00AD68E4">
        <w:rPr>
          <w:rFonts w:eastAsia="Times New Roman" w:cs="Times New Roman"/>
          <w:szCs w:val="24"/>
        </w:rPr>
        <w:t xml:space="preserve">, </w:t>
      </w:r>
      <w:r w:rsidRPr="00AD68E4">
        <w:rPr>
          <w:rFonts w:eastAsia="Times New Roman" w:cs="Times New Roman"/>
          <w:i/>
          <w:iCs/>
          <w:szCs w:val="24"/>
        </w:rPr>
        <w:t>24</w:t>
      </w:r>
      <w:r w:rsidRPr="00AD68E4">
        <w:rPr>
          <w:rFonts w:eastAsia="Times New Roman" w:cs="Times New Roman"/>
          <w:szCs w:val="24"/>
        </w:rPr>
        <w:t>(3), 263-280.</w:t>
      </w:r>
    </w:p>
    <w:p w:rsidR="00CD6D0F" w:rsidRPr="00AD68E4" w:rsidRDefault="00CD6D0F" w:rsidP="00CD6D0F">
      <w:pPr>
        <w:spacing w:after="0"/>
        <w:ind w:left="720" w:hanging="720"/>
        <w:rPr>
          <w:rFonts w:eastAsia="Times New Roman" w:cs="Times New Roman"/>
          <w:szCs w:val="24"/>
        </w:rPr>
      </w:pPr>
      <w:r w:rsidRPr="00AD68E4">
        <w:rPr>
          <w:rFonts w:eastAsia="Times New Roman" w:cs="Times New Roman"/>
          <w:szCs w:val="24"/>
        </w:rPr>
        <w:t xml:space="preserve">Sharma, Y. M. (2018). Overcoming Challenges for Teaching Technical Communication. </w:t>
      </w:r>
      <w:r w:rsidRPr="00AD68E4">
        <w:rPr>
          <w:rFonts w:eastAsia="Times New Roman" w:cs="Times New Roman"/>
          <w:i/>
          <w:iCs/>
          <w:szCs w:val="24"/>
        </w:rPr>
        <w:t>THE JOURNAL OF RASE</w:t>
      </w:r>
      <w:r w:rsidRPr="00AD68E4">
        <w:rPr>
          <w:rFonts w:eastAsia="Times New Roman" w:cs="Times New Roman"/>
          <w:szCs w:val="24"/>
        </w:rPr>
        <w:t xml:space="preserve">, </w:t>
      </w:r>
      <w:r w:rsidRPr="00AD68E4">
        <w:rPr>
          <w:rFonts w:eastAsia="Times New Roman" w:cs="Times New Roman"/>
          <w:i/>
          <w:iCs/>
          <w:szCs w:val="24"/>
        </w:rPr>
        <w:t>14</w:t>
      </w:r>
      <w:r w:rsidRPr="00AD68E4">
        <w:rPr>
          <w:rFonts w:eastAsia="Times New Roman" w:cs="Times New Roman"/>
          <w:szCs w:val="24"/>
        </w:rPr>
        <w:t>, 89-94.</w:t>
      </w:r>
    </w:p>
    <w:p w:rsidR="00CD6D0F" w:rsidRPr="00AD68E4" w:rsidRDefault="00CD6D0F" w:rsidP="00CD6D0F">
      <w:pPr>
        <w:spacing w:after="0"/>
        <w:ind w:left="720" w:hanging="720"/>
        <w:rPr>
          <w:rFonts w:eastAsia="Times New Roman" w:cs="Times New Roman"/>
          <w:szCs w:val="24"/>
        </w:rPr>
      </w:pPr>
      <w:r w:rsidRPr="00AD68E4">
        <w:rPr>
          <w:rFonts w:eastAsia="Times New Roman" w:cs="Times New Roman"/>
          <w:szCs w:val="24"/>
        </w:rPr>
        <w:t xml:space="preserve">Sonia, G. (Ed.). (2017). </w:t>
      </w:r>
      <w:r w:rsidRPr="00AD68E4">
        <w:rPr>
          <w:rFonts w:eastAsia="Times New Roman" w:cs="Times New Roman"/>
          <w:i/>
          <w:iCs/>
          <w:szCs w:val="24"/>
        </w:rPr>
        <w:t>Educational research and innovation pedagogical knowledge and the changing nature of the teaching profession</w:t>
      </w:r>
      <w:r w:rsidRPr="00AD68E4">
        <w:rPr>
          <w:rFonts w:eastAsia="Times New Roman" w:cs="Times New Roman"/>
          <w:szCs w:val="24"/>
        </w:rPr>
        <w:t>. OECD Publishing.</w:t>
      </w:r>
    </w:p>
    <w:p w:rsidR="00CD6D0F" w:rsidRPr="00AD68E4" w:rsidRDefault="00CD6D0F" w:rsidP="00CD6D0F">
      <w:pPr>
        <w:spacing w:after="0"/>
        <w:ind w:left="720" w:hanging="720"/>
        <w:rPr>
          <w:rFonts w:eastAsia="Times New Roman" w:cs="Times New Roman"/>
          <w:szCs w:val="24"/>
        </w:rPr>
      </w:pPr>
      <w:r w:rsidRPr="00AD68E4">
        <w:rPr>
          <w:rFonts w:eastAsia="Times New Roman" w:cs="Times New Roman"/>
          <w:szCs w:val="24"/>
        </w:rPr>
        <w:t xml:space="preserve">Tsybulsky, D., &amp; Muchnik-Rozanov, Y. (2019). The development of student-teachers' professional identity while team-teaching science classes using a project-based learning approach: A multi-level analysis. </w:t>
      </w:r>
      <w:r w:rsidRPr="00AD68E4">
        <w:rPr>
          <w:rFonts w:eastAsia="Times New Roman" w:cs="Times New Roman"/>
          <w:i/>
          <w:iCs/>
          <w:szCs w:val="24"/>
        </w:rPr>
        <w:t>Teaching and Teacher Education</w:t>
      </w:r>
      <w:r w:rsidRPr="00AD68E4">
        <w:rPr>
          <w:rFonts w:eastAsia="Times New Roman" w:cs="Times New Roman"/>
          <w:szCs w:val="24"/>
        </w:rPr>
        <w:t xml:space="preserve">, </w:t>
      </w:r>
      <w:r w:rsidRPr="00AD68E4">
        <w:rPr>
          <w:rFonts w:eastAsia="Times New Roman" w:cs="Times New Roman"/>
          <w:i/>
          <w:iCs/>
          <w:szCs w:val="24"/>
        </w:rPr>
        <w:t>79</w:t>
      </w:r>
      <w:r w:rsidRPr="00AD68E4">
        <w:rPr>
          <w:rFonts w:eastAsia="Times New Roman" w:cs="Times New Roman"/>
          <w:szCs w:val="24"/>
        </w:rPr>
        <w:t>, 48-59.</w:t>
      </w:r>
    </w:p>
    <w:p w:rsidR="00CD6D0F" w:rsidRDefault="00CD6D0F" w:rsidP="00CD6D0F">
      <w:pPr>
        <w:jc w:val="center"/>
      </w:pPr>
    </w:p>
    <w:p w:rsidR="00CD6D0F" w:rsidRPr="00AD68E4" w:rsidRDefault="00CD6D0F" w:rsidP="00CD6D0F">
      <w:pPr>
        <w:jc w:val="center"/>
      </w:pPr>
    </w:p>
    <w:sectPr w:rsidR="00CD6D0F" w:rsidRPr="00AD68E4" w:rsidSect="00CD6D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387" w:rsidRDefault="003D0387" w:rsidP="00CD6D0F">
      <w:pPr>
        <w:spacing w:after="0" w:line="240" w:lineRule="auto"/>
      </w:pPr>
      <w:r>
        <w:separator/>
      </w:r>
    </w:p>
  </w:endnote>
  <w:endnote w:type="continuationSeparator" w:id="0">
    <w:p w:rsidR="003D0387" w:rsidRDefault="003D0387" w:rsidP="00CD6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387" w:rsidRDefault="003D0387" w:rsidP="00CD6D0F">
      <w:pPr>
        <w:spacing w:after="0" w:line="240" w:lineRule="auto"/>
      </w:pPr>
      <w:r>
        <w:separator/>
      </w:r>
    </w:p>
  </w:footnote>
  <w:footnote w:type="continuationSeparator" w:id="0">
    <w:p w:rsidR="003D0387" w:rsidRDefault="003D0387" w:rsidP="00CD6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26256"/>
      <w:docPartObj>
        <w:docPartGallery w:val="Page Numbers (Top of Page)"/>
        <w:docPartUnique/>
      </w:docPartObj>
    </w:sdtPr>
    <w:sdtEndPr>
      <w:rPr>
        <w:noProof/>
      </w:rPr>
    </w:sdtEndPr>
    <w:sdtContent>
      <w:p w:rsidR="00CD6D0F" w:rsidRDefault="00CD6D0F">
        <w:pPr>
          <w:pStyle w:val="Header"/>
          <w:jc w:val="right"/>
        </w:pPr>
        <w:r>
          <w:t>TEACHING SPECIALTY</w:t>
        </w:r>
        <w:r>
          <w:tab/>
        </w:r>
        <w:r>
          <w:tab/>
        </w:r>
        <w:r>
          <w:fldChar w:fldCharType="begin"/>
        </w:r>
        <w:r>
          <w:instrText xml:space="preserve"> PAGE   \* MERGEFORMAT </w:instrText>
        </w:r>
        <w:r>
          <w:fldChar w:fldCharType="separate"/>
        </w:r>
        <w:r w:rsidR="00D91D43">
          <w:rPr>
            <w:noProof/>
          </w:rPr>
          <w:t>6</w:t>
        </w:r>
        <w:r>
          <w:rPr>
            <w:noProof/>
          </w:rPr>
          <w:fldChar w:fldCharType="end"/>
        </w:r>
      </w:p>
    </w:sdtContent>
  </w:sdt>
  <w:p w:rsidR="00CD6D0F" w:rsidRDefault="00CD6D0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D0F" w:rsidRDefault="00CD6D0F">
    <w:pPr>
      <w:pStyle w:val="Header"/>
    </w:pPr>
    <w:r>
      <w:t>Running Head: TEACHING SPECIALTY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7D"/>
    <w:rsid w:val="000B047C"/>
    <w:rsid w:val="003854DC"/>
    <w:rsid w:val="003D0387"/>
    <w:rsid w:val="00575051"/>
    <w:rsid w:val="00942084"/>
    <w:rsid w:val="009B117D"/>
    <w:rsid w:val="00AD68E4"/>
    <w:rsid w:val="00B35F5D"/>
    <w:rsid w:val="00C676E8"/>
    <w:rsid w:val="00CD6D0F"/>
    <w:rsid w:val="00D573A5"/>
    <w:rsid w:val="00D91ACA"/>
    <w:rsid w:val="00D91D43"/>
    <w:rsid w:val="00D972A9"/>
    <w:rsid w:val="00E0523E"/>
    <w:rsid w:val="00EA00DB"/>
    <w:rsid w:val="00F5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48E0C-2B5F-4504-BA21-41A72359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D0F"/>
    <w:rPr>
      <w:rFonts w:ascii="Times New Roman" w:hAnsi="Times New Roman"/>
      <w:sz w:val="24"/>
    </w:rPr>
  </w:style>
  <w:style w:type="paragraph" w:styleId="Footer">
    <w:name w:val="footer"/>
    <w:basedOn w:val="Normal"/>
    <w:link w:val="FooterChar"/>
    <w:uiPriority w:val="99"/>
    <w:unhideWhenUsed/>
    <w:rsid w:val="00CD6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D0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35536">
      <w:bodyDiv w:val="1"/>
      <w:marLeft w:val="0"/>
      <w:marRight w:val="0"/>
      <w:marTop w:val="0"/>
      <w:marBottom w:val="0"/>
      <w:divBdr>
        <w:top w:val="none" w:sz="0" w:space="0" w:color="auto"/>
        <w:left w:val="none" w:sz="0" w:space="0" w:color="auto"/>
        <w:bottom w:val="none" w:sz="0" w:space="0" w:color="auto"/>
        <w:right w:val="none" w:sz="0" w:space="0" w:color="auto"/>
      </w:divBdr>
      <w:divsChild>
        <w:div w:id="236940704">
          <w:marLeft w:val="0"/>
          <w:marRight w:val="0"/>
          <w:marTop w:val="0"/>
          <w:marBottom w:val="0"/>
          <w:divBdr>
            <w:top w:val="none" w:sz="0" w:space="0" w:color="auto"/>
            <w:left w:val="none" w:sz="0" w:space="0" w:color="auto"/>
            <w:bottom w:val="none" w:sz="0" w:space="0" w:color="auto"/>
            <w:right w:val="none" w:sz="0" w:space="0" w:color="auto"/>
          </w:divBdr>
        </w:div>
      </w:divsChild>
    </w:div>
    <w:div w:id="1040007998">
      <w:bodyDiv w:val="1"/>
      <w:marLeft w:val="0"/>
      <w:marRight w:val="0"/>
      <w:marTop w:val="0"/>
      <w:marBottom w:val="0"/>
      <w:divBdr>
        <w:top w:val="none" w:sz="0" w:space="0" w:color="auto"/>
        <w:left w:val="none" w:sz="0" w:space="0" w:color="auto"/>
        <w:bottom w:val="none" w:sz="0" w:space="0" w:color="auto"/>
        <w:right w:val="none" w:sz="0" w:space="0" w:color="auto"/>
      </w:divBdr>
      <w:divsChild>
        <w:div w:id="130290891">
          <w:marLeft w:val="0"/>
          <w:marRight w:val="0"/>
          <w:marTop w:val="0"/>
          <w:marBottom w:val="0"/>
          <w:divBdr>
            <w:top w:val="none" w:sz="0" w:space="0" w:color="auto"/>
            <w:left w:val="none" w:sz="0" w:space="0" w:color="auto"/>
            <w:bottom w:val="none" w:sz="0" w:space="0" w:color="auto"/>
            <w:right w:val="none" w:sz="0" w:space="0" w:color="auto"/>
          </w:divBdr>
        </w:div>
      </w:divsChild>
    </w:div>
    <w:div w:id="1431579950">
      <w:bodyDiv w:val="1"/>
      <w:marLeft w:val="0"/>
      <w:marRight w:val="0"/>
      <w:marTop w:val="0"/>
      <w:marBottom w:val="0"/>
      <w:divBdr>
        <w:top w:val="none" w:sz="0" w:space="0" w:color="auto"/>
        <w:left w:val="none" w:sz="0" w:space="0" w:color="auto"/>
        <w:bottom w:val="none" w:sz="0" w:space="0" w:color="auto"/>
        <w:right w:val="none" w:sz="0" w:space="0" w:color="auto"/>
      </w:divBdr>
      <w:divsChild>
        <w:div w:id="1086923867">
          <w:marLeft w:val="0"/>
          <w:marRight w:val="0"/>
          <w:marTop w:val="0"/>
          <w:marBottom w:val="0"/>
          <w:divBdr>
            <w:top w:val="none" w:sz="0" w:space="0" w:color="auto"/>
            <w:left w:val="none" w:sz="0" w:space="0" w:color="auto"/>
            <w:bottom w:val="none" w:sz="0" w:space="0" w:color="auto"/>
            <w:right w:val="none" w:sz="0" w:space="0" w:color="auto"/>
          </w:divBdr>
        </w:div>
      </w:divsChild>
    </w:div>
    <w:div w:id="1432315732">
      <w:bodyDiv w:val="1"/>
      <w:marLeft w:val="0"/>
      <w:marRight w:val="0"/>
      <w:marTop w:val="0"/>
      <w:marBottom w:val="0"/>
      <w:divBdr>
        <w:top w:val="none" w:sz="0" w:space="0" w:color="auto"/>
        <w:left w:val="none" w:sz="0" w:space="0" w:color="auto"/>
        <w:bottom w:val="none" w:sz="0" w:space="0" w:color="auto"/>
        <w:right w:val="none" w:sz="0" w:space="0" w:color="auto"/>
      </w:divBdr>
      <w:divsChild>
        <w:div w:id="1428847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2020-10-27T09:55:00Z</dcterms:created>
  <dcterms:modified xsi:type="dcterms:W3CDTF">2020-10-27T09:55:00Z</dcterms:modified>
</cp:coreProperties>
</file>